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B7" w:rsidRDefault="00B41DB7"/>
    <w:p w:rsidR="008D3950" w:rsidRPr="008D3950" w:rsidRDefault="008D3950" w:rsidP="008D3950">
      <w:pPr>
        <w:rPr>
          <w:b/>
          <w:sz w:val="28"/>
        </w:rPr>
      </w:pPr>
      <w:r w:rsidRPr="008D3950">
        <w:rPr>
          <w:b/>
          <w:sz w:val="28"/>
        </w:rPr>
        <w:t xml:space="preserve">NOTA SOBRE PRESENTACIÓN EN SEDE ELECTRÓNICA </w:t>
      </w:r>
      <w:r>
        <w:rPr>
          <w:b/>
          <w:sz w:val="28"/>
        </w:rPr>
        <w:t xml:space="preserve">DE ACTUACIONES </w:t>
      </w:r>
      <w:r w:rsidRPr="008D3950">
        <w:rPr>
          <w:b/>
          <w:sz w:val="28"/>
        </w:rPr>
        <w:t>EN EL PROCEDIMIENTO 217 (Actuaciones sobre instrumentos sujetos a control metrológico)</w:t>
      </w:r>
    </w:p>
    <w:p w:rsidR="008D3950" w:rsidRPr="008F5442" w:rsidRDefault="008D3950" w:rsidP="008D3950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 </w:t>
      </w:r>
    </w:p>
    <w:p w:rsidR="008D3950" w:rsidRDefault="008D3950" w:rsidP="008D3950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proofErr w:type="spellStart"/>
      <w:r w:rsidRPr="008D3950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lang w:val="en-US" w:eastAsia="es-ES"/>
        </w:rPr>
        <w:t>Actuaciones</w:t>
      </w:r>
      <w:proofErr w:type="spellEnd"/>
      <w:r w:rsidRPr="008D3950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lang w:val="en-US" w:eastAsia="es-ES"/>
        </w:rPr>
        <w:t xml:space="preserve"> </w:t>
      </w:r>
      <w:proofErr w:type="spellStart"/>
      <w:r w:rsidRPr="008D3950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lang w:val="en-US" w:eastAsia="es-ES"/>
        </w:rPr>
        <w:t>previas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: </w:t>
      </w:r>
      <w:r w:rsidRPr="009A75B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ES"/>
        </w:rPr>
        <w:t>presentar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comunicación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mí</w:t>
      </w:r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nimo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 w:rsidRPr="008D3950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val="en-US" w:eastAsia="es-ES"/>
        </w:rPr>
        <w:t>tres</w:t>
      </w:r>
      <w:proofErr w:type="spellEnd"/>
      <w:r w:rsidRPr="008D3950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val="en-US" w:eastAsia="es-ES"/>
        </w:rPr>
        <w:t xml:space="preserve"> </w:t>
      </w:r>
      <w:proofErr w:type="spellStart"/>
      <w:r w:rsidRPr="008D3950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val="en-US" w:eastAsia="es-ES"/>
        </w:rPr>
        <w:t>días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antes de la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actuación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. </w:t>
      </w:r>
      <w:r w:rsidRPr="00960171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Sin </w:t>
      </w:r>
      <w:proofErr w:type="spellStart"/>
      <w:r w:rsidRPr="00960171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en-US" w:eastAsia="es-ES"/>
        </w:rPr>
        <w:t>tasa</w:t>
      </w:r>
      <w:proofErr w:type="spellEnd"/>
      <w:r w:rsidRPr="00960171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en-US" w:eastAsia="es-ES"/>
        </w:rPr>
        <w:t>.</w:t>
      </w:r>
      <w:r w:rsidRPr="008F5442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 </w:t>
      </w:r>
      <w:r w:rsidR="00360158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Para poder presentar esta solicitud deberán indicar “0” actuaciones </w:t>
      </w:r>
      <w:r w:rsidR="009D62C6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(“</w:t>
      </w:r>
      <w:proofErr w:type="spellStart"/>
      <w:r w:rsidR="009D62C6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Actuac</w:t>
      </w:r>
      <w:proofErr w:type="spellEnd"/>
      <w:r w:rsidR="009D62C6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/</w:t>
      </w:r>
      <w:proofErr w:type="spellStart"/>
      <w:r w:rsidR="009D62C6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Autoriz</w:t>
      </w:r>
      <w:proofErr w:type="spellEnd"/>
      <w:r w:rsidR="009D62C6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”) </w:t>
      </w:r>
      <w:r w:rsidR="00360158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en </w:t>
      </w:r>
      <w:r w:rsidR="009D62C6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la autoliquidación</w:t>
      </w:r>
      <w:r w:rsidR="00360158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de la tasa</w:t>
      </w:r>
      <w:r w:rsidR="009D62C6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que se genera en la presentación telemática, después de adjuntar la documentación que fuese necesaria.</w:t>
      </w:r>
      <w:r w:rsidR="007E508C" w:rsidRPr="007E508C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</w:t>
      </w:r>
    </w:p>
    <w:p w:rsidR="00360158" w:rsidRDefault="00360158" w:rsidP="00360158">
      <w:pPr>
        <w:shd w:val="clear" w:color="auto" w:fill="FFFFFF"/>
        <w:suppressAutoHyphens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>
        <w:rPr>
          <w:noProof/>
          <w:lang w:eastAsia="es-ES"/>
        </w:rPr>
        <w:drawing>
          <wp:inline distT="0" distB="0" distL="0" distR="0" wp14:anchorId="65835ACF" wp14:editId="5BBE9F77">
            <wp:extent cx="5400040" cy="311785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2C6" w:rsidRDefault="009D62C6" w:rsidP="00360158">
      <w:pPr>
        <w:shd w:val="clear" w:color="auto" w:fill="FFFFFF"/>
        <w:suppressAutoHyphens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:rsidR="009D62C6" w:rsidRPr="008F5442" w:rsidRDefault="009D62C6" w:rsidP="00360158">
      <w:pPr>
        <w:shd w:val="clear" w:color="auto" w:fill="FFFFFF"/>
        <w:suppressAutoHyphens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:rsidR="009D62C6" w:rsidRDefault="008D3950" w:rsidP="008D3950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proofErr w:type="spellStart"/>
      <w:r w:rsidRPr="008D3950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lang w:val="en-US" w:eastAsia="es-ES"/>
        </w:rPr>
        <w:t>Actuaciones</w:t>
      </w:r>
      <w:proofErr w:type="spellEnd"/>
      <w:r w:rsidRPr="008D3950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lang w:val="en-US" w:eastAsia="es-ES"/>
        </w:rPr>
        <w:t xml:space="preserve"> </w:t>
      </w:r>
      <w:proofErr w:type="spellStart"/>
      <w:r w:rsidRPr="008D3950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lang w:val="en-US" w:eastAsia="es-ES"/>
        </w:rPr>
        <w:t>realizadas</w:t>
      </w:r>
      <w:proofErr w:type="spellEnd"/>
      <w:r w:rsidRPr="008D3950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lang w:val="en-US" w:eastAsia="es-ES"/>
        </w:rPr>
        <w:t>:</w:t>
      </w:r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una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vez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al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mes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(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Tasa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por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actuación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r w:rsidRPr="008D3950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en-US" w:eastAsia="es-ES"/>
        </w:rPr>
        <w:t>T660-4</w:t>
      </w:r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)</w:t>
      </w:r>
      <w:r w:rsidRPr="008F5442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 </w:t>
      </w:r>
    </w:p>
    <w:p w:rsidR="008D3950" w:rsidRDefault="009D62C6" w:rsidP="009D62C6">
      <w:pPr>
        <w:shd w:val="clear" w:color="auto" w:fill="FFFFFF"/>
        <w:suppressAutoHyphens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En la liquidación de tasas telemática </w:t>
      </w:r>
      <w:r w:rsidR="007E508C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la tasa T660-4 </w:t>
      </w:r>
      <w:r w:rsidR="007E508C" w:rsidRPr="00266392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se corresponde 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con el punto número 4 </w:t>
      </w:r>
      <w:r w:rsidR="007E508C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en “Tipo </w:t>
      </w:r>
      <w:proofErr w:type="spellStart"/>
      <w:r w:rsidR="007E508C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Actua</w:t>
      </w:r>
      <w:proofErr w:type="spellEnd"/>
      <w:r w:rsidR="007E508C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/</w:t>
      </w:r>
      <w:proofErr w:type="spellStart"/>
      <w:r w:rsidR="007E508C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Autoriz</w:t>
      </w:r>
      <w:proofErr w:type="spellEnd"/>
      <w:r w:rsidR="007E508C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”</w:t>
      </w:r>
      <w:r w:rsidR="007E508C" w:rsidRPr="00266392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(“Actuación/intervención de Organismo de Control sobre productos o instalaciones industriales, por cada intervención”). Se indicarán tantas actuaciones como correspondan</w:t>
      </w:r>
      <w:r w:rsidR="007E508C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en el apartado “</w:t>
      </w:r>
      <w:proofErr w:type="spellStart"/>
      <w:r w:rsidR="007E508C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Actuac</w:t>
      </w:r>
      <w:proofErr w:type="spellEnd"/>
      <w:r w:rsidR="007E508C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/</w:t>
      </w:r>
      <w:proofErr w:type="spellStart"/>
      <w:r w:rsidR="007E508C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Autoriz</w:t>
      </w:r>
      <w:proofErr w:type="spellEnd"/>
      <w:r w:rsidR="007E508C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”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, siendo la tasa final 1,94 € por cada actuación. </w:t>
      </w:r>
    </w:p>
    <w:p w:rsidR="009D62C6" w:rsidRDefault="009D62C6" w:rsidP="009D62C6">
      <w:pPr>
        <w:shd w:val="clear" w:color="auto" w:fill="FFFFFF"/>
        <w:suppressAutoHyphens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08FCFBCE" wp14:editId="63358FCF">
            <wp:extent cx="5400040" cy="354457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4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2C6" w:rsidRDefault="009D62C6" w:rsidP="009D62C6">
      <w:pPr>
        <w:shd w:val="clear" w:color="auto" w:fill="FFFFFF"/>
        <w:suppressAutoHyphens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:rsidR="009D62C6" w:rsidRPr="008F5442" w:rsidRDefault="009D62C6" w:rsidP="009D62C6">
      <w:pPr>
        <w:shd w:val="clear" w:color="auto" w:fill="FFFFFF"/>
        <w:suppressAutoHyphens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:rsidR="008D3950" w:rsidRDefault="008D3950" w:rsidP="008D3950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proofErr w:type="spellStart"/>
      <w:r w:rsidRPr="008D3950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lang w:val="en-US" w:eastAsia="es-ES"/>
        </w:rPr>
        <w:t>Comunicación</w:t>
      </w:r>
      <w:proofErr w:type="spellEnd"/>
      <w:r w:rsidRPr="008D3950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lang w:val="en-US" w:eastAsia="es-ES"/>
        </w:rPr>
        <w:t xml:space="preserve"> de </w:t>
      </w:r>
      <w:proofErr w:type="spellStart"/>
      <w:r w:rsidRPr="008D3950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lang w:val="en-US" w:eastAsia="es-ES"/>
        </w:rPr>
        <w:t>actuaciones</w:t>
      </w:r>
      <w:proofErr w:type="spellEnd"/>
      <w:r w:rsidRPr="008D3950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lang w:val="en-US" w:eastAsia="es-ES"/>
        </w:rPr>
        <w:t xml:space="preserve"> </w:t>
      </w:r>
      <w:proofErr w:type="spellStart"/>
      <w:r w:rsidRPr="008D3950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lang w:val="en-US" w:eastAsia="es-ES"/>
        </w:rPr>
        <w:t>actas</w:t>
      </w:r>
      <w:proofErr w:type="spellEnd"/>
      <w:r w:rsidRPr="008D3950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lang w:val="en-US" w:eastAsia="es-ES"/>
        </w:rPr>
        <w:t xml:space="preserve"> </w:t>
      </w:r>
      <w:proofErr w:type="spellStart"/>
      <w:r w:rsidRPr="008D3950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lang w:val="en-US" w:eastAsia="es-ES"/>
        </w:rPr>
        <w:t>desfavorables</w:t>
      </w:r>
      <w:proofErr w:type="spellEnd"/>
      <w:r w:rsidRPr="008D3950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lang w:val="en-US" w:eastAsia="es-ES"/>
        </w:rPr>
        <w:t>:</w:t>
      </w:r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presentar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comunicación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antes de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transcurrir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 w:rsidRPr="008D3950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val="en-US" w:eastAsia="es-ES"/>
        </w:rPr>
        <w:t>cinco</w:t>
      </w:r>
      <w:proofErr w:type="spellEnd"/>
      <w:r w:rsidRPr="008D3950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val="en-US" w:eastAsia="es-ES"/>
        </w:rPr>
        <w:t xml:space="preserve"> </w:t>
      </w:r>
      <w:proofErr w:type="spellStart"/>
      <w:r w:rsidRPr="008D3950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val="en-US" w:eastAsia="es-ES"/>
        </w:rPr>
        <w:t>días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(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tasa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por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actuación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r w:rsidRPr="008D3950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en-US" w:eastAsia="es-ES"/>
        </w:rPr>
        <w:t>T660-4</w:t>
      </w:r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)</w:t>
      </w:r>
      <w:r w:rsidR="009D62C6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. La liquidación de tasas es la misma que en el apartado anterior. Se indicarán tantas actuaciones como correspondan, siendo la tasa final 1,94 € por cada actuación.</w:t>
      </w:r>
    </w:p>
    <w:p w:rsidR="009D62C6" w:rsidRPr="008F5442" w:rsidRDefault="009D62C6" w:rsidP="009D62C6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:rsidR="008D3950" w:rsidRDefault="008D3950" w:rsidP="008D3950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proofErr w:type="spellStart"/>
      <w:r w:rsidRPr="008D3950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lang w:val="en-US" w:eastAsia="es-ES"/>
        </w:rPr>
        <w:t>Informe</w:t>
      </w:r>
      <w:proofErr w:type="spellEnd"/>
      <w:r w:rsidRPr="008D3950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lang w:val="en-US" w:eastAsia="es-ES"/>
        </w:rPr>
        <w:t xml:space="preserve"> </w:t>
      </w:r>
      <w:proofErr w:type="spellStart"/>
      <w:r w:rsidRPr="008D3950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lang w:val="en-US" w:eastAsia="es-ES"/>
        </w:rPr>
        <w:t>anual</w:t>
      </w:r>
      <w:proofErr w:type="spellEnd"/>
      <w:r w:rsidRPr="008D3950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lang w:val="en-US" w:eastAsia="es-ES"/>
        </w:rPr>
        <w:t>:</w:t>
      </w:r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resumen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anual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de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actuaciones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(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tasa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por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informe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 w:rsidR="0026639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a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nual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r w:rsidRPr="008D3950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en-US" w:eastAsia="es-ES"/>
        </w:rPr>
        <w:t>T660-3</w:t>
      </w:r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y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,</w:t>
      </w:r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si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no se </w:t>
      </w:r>
      <w:proofErr w:type="spellStart"/>
      <w:proofErr w:type="gram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han</w:t>
      </w:r>
      <w:proofErr w:type="spellEnd"/>
      <w:proofErr w:type="gram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comunica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do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las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actuaciones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mensualmente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con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su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tasa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, se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presentará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adicionalmente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tasa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de las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actuaciones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realizadas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r w:rsidRPr="008D395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T660-4)</w:t>
      </w:r>
      <w:r w:rsidR="00266392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.</w:t>
      </w:r>
    </w:p>
    <w:p w:rsidR="00266392" w:rsidRDefault="00266392" w:rsidP="00266392">
      <w:pPr>
        <w:pStyle w:val="Prrafodelista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:rsidR="00266392" w:rsidRPr="00266392" w:rsidRDefault="00266392" w:rsidP="00266392">
      <w:pPr>
        <w:pStyle w:val="Prrafodelista"/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266392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En la liquidación de tasas telemática 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la tasa T660-3 </w:t>
      </w:r>
      <w:r w:rsidRPr="00266392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se corresponde con el punto número 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3 en “Tipo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Actua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/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Autoriz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”</w:t>
      </w:r>
      <w:r w:rsidRPr="00266392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(“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Notificación periódica anual de Organismo de Control</w:t>
      </w:r>
      <w:r w:rsidRPr="00266392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”). 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En este caso la cantidad de actuaciones será</w:t>
      </w:r>
      <w:r w:rsidR="007E508C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siempre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1.</w:t>
      </w:r>
    </w:p>
    <w:p w:rsidR="00266392" w:rsidRDefault="00266392" w:rsidP="00266392">
      <w:pPr>
        <w:shd w:val="clear" w:color="auto" w:fill="FFFFFF"/>
        <w:suppressAutoHyphens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:rsidR="009D62C6" w:rsidRPr="00266392" w:rsidRDefault="009D62C6" w:rsidP="00266392">
      <w:pPr>
        <w:ind w:left="360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:rsidR="009D62C6" w:rsidRDefault="009D62C6" w:rsidP="00266392">
      <w:pPr>
        <w:shd w:val="clear" w:color="auto" w:fill="FFFFFF"/>
        <w:suppressAutoHyphens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bookmarkStart w:id="0" w:name="_GoBack"/>
      <w:r>
        <w:rPr>
          <w:noProof/>
          <w:lang w:eastAsia="es-ES"/>
        </w:rPr>
        <w:lastRenderedPageBreak/>
        <w:drawing>
          <wp:inline distT="0" distB="0" distL="0" distR="0" wp14:anchorId="6F64D86B" wp14:editId="54BC4A29">
            <wp:extent cx="5400040" cy="3461385"/>
            <wp:effectExtent l="0" t="0" r="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6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D62C6" w:rsidRDefault="009D62C6" w:rsidP="009D62C6">
      <w:pPr>
        <w:pStyle w:val="Prrafodelista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:rsidR="009D62C6" w:rsidRDefault="00266392" w:rsidP="009D62C6">
      <w:pPr>
        <w:shd w:val="clear" w:color="auto" w:fill="FFFFFF"/>
        <w:suppressAutoHyphens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En el caso de que tenga que presentar adicionalmente las actuaciones realizadas por no haberlo hecho con anterioridad puede realizar el pago de tasas de manera conjunta</w:t>
      </w:r>
      <w:r w:rsidR="007E508C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pulsando en “AÑADIR HECHO IMPONIBLE”, para que se sumen ambas tasas</w:t>
      </w:r>
    </w:p>
    <w:p w:rsidR="007E508C" w:rsidRDefault="007E508C" w:rsidP="009D62C6">
      <w:pPr>
        <w:shd w:val="clear" w:color="auto" w:fill="FFFFFF"/>
        <w:suppressAutoHyphens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1132AAA5" wp14:editId="58F0F62F">
            <wp:extent cx="5400040" cy="3763010"/>
            <wp:effectExtent l="0" t="0" r="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6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08C" w:rsidRDefault="007E508C" w:rsidP="009D62C6">
      <w:pPr>
        <w:shd w:val="clear" w:color="auto" w:fill="FFFFFF"/>
        <w:suppressAutoHyphens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:rsidR="007E508C" w:rsidRDefault="007E508C" w:rsidP="009D62C6">
      <w:pPr>
        <w:shd w:val="clear" w:color="auto" w:fill="FFFFFF"/>
        <w:suppressAutoHyphens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Por ejemplo, si se tuviera que comunicar un resumen anual de notificaciones (T-660-3) y a la vez se comunicaran tres actuaciones (</w:t>
      </w:r>
      <w:r w:rsidRPr="008D395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T660-4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) se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indicarían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los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dos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hechos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imponibles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….</w:t>
      </w:r>
    </w:p>
    <w:p w:rsidR="00266392" w:rsidRDefault="00266392" w:rsidP="009D62C6">
      <w:pPr>
        <w:shd w:val="clear" w:color="auto" w:fill="FFFFFF"/>
        <w:suppressAutoHyphens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0EF2F0A3" wp14:editId="42F339EA">
            <wp:extent cx="5400040" cy="3941445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2C6" w:rsidRDefault="009D62C6" w:rsidP="009D62C6">
      <w:pPr>
        <w:pStyle w:val="Prrafodelista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:rsidR="009D62C6" w:rsidRPr="008F5442" w:rsidRDefault="009D62C6" w:rsidP="009D62C6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:rsidR="008D3950" w:rsidRPr="008F5442" w:rsidRDefault="008D3950" w:rsidP="008D3950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proofErr w:type="spellStart"/>
      <w:r w:rsidRPr="008D3950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lang w:val="en-US" w:eastAsia="es-ES"/>
        </w:rPr>
        <w:t>Otras</w:t>
      </w:r>
      <w:proofErr w:type="spellEnd"/>
      <w:r w:rsidRPr="008D3950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lang w:val="en-US" w:eastAsia="es-ES"/>
        </w:rPr>
        <w:t xml:space="preserve"> </w:t>
      </w:r>
      <w:proofErr w:type="spellStart"/>
      <w:r w:rsidRPr="008D3950">
        <w:rPr>
          <w:rFonts w:ascii="Arial" w:eastAsia="Times New Roman" w:hAnsi="Arial" w:cs="Arial"/>
          <w:b/>
          <w:color w:val="000000"/>
          <w:sz w:val="28"/>
          <w:szCs w:val="28"/>
          <w:u w:val="single"/>
          <w:bdr w:val="none" w:sz="0" w:space="0" w:color="auto" w:frame="1"/>
          <w:lang w:val="en-US" w:eastAsia="es-ES"/>
        </w:rPr>
        <w:t>actuaciones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(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solicitud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de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precintos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,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consultas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metrologicas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, etc.,) </w:t>
      </w:r>
      <w:r w:rsidRPr="00960171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sin </w:t>
      </w:r>
      <w:proofErr w:type="spellStart"/>
      <w:r w:rsidRPr="00960171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en-US" w:eastAsia="es-ES"/>
        </w:rPr>
        <w:t>tasa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,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inicialmente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,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pudiendo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aplicar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tasa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en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los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casos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que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corresponda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que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será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enviada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posteriormente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.</w:t>
      </w:r>
      <w:r w:rsidRPr="008F5442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 </w:t>
      </w:r>
      <w:r w:rsidR="007E508C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Para presentar la solicitud sin tasas deberán indicar “0” actuaciones (“</w:t>
      </w:r>
      <w:proofErr w:type="spellStart"/>
      <w:r w:rsidR="007E508C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Actuac</w:t>
      </w:r>
      <w:proofErr w:type="spellEnd"/>
      <w:r w:rsidR="007E508C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/</w:t>
      </w:r>
      <w:proofErr w:type="spellStart"/>
      <w:r w:rsidR="007E508C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Autoriz</w:t>
      </w:r>
      <w:proofErr w:type="spellEnd"/>
      <w:r w:rsidR="007E508C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”) en la autoliquidación, al igual que en el apartado 1</w:t>
      </w:r>
      <w:r w:rsidR="007663C9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(</w:t>
      </w:r>
      <w:r w:rsidR="007E508C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Actuaciones previas</w:t>
      </w:r>
      <w:r w:rsidR="007663C9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)</w:t>
      </w:r>
      <w:r w:rsidR="007E508C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.</w:t>
      </w:r>
    </w:p>
    <w:p w:rsidR="008D3950" w:rsidRPr="008F5442" w:rsidRDefault="008D3950" w:rsidP="008D3950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 </w:t>
      </w:r>
    </w:p>
    <w:p w:rsidR="008D3950" w:rsidRPr="008F5442" w:rsidRDefault="008D3950" w:rsidP="008D3950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         Para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cualquier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 w:rsidRPr="009D62C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consulta</w:t>
      </w:r>
      <w:proofErr w:type="spellEnd"/>
      <w:r w:rsidRPr="009D62C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o </w:t>
      </w:r>
      <w:proofErr w:type="spellStart"/>
      <w:r w:rsidRPr="009D62C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aclaración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de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procedimiento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de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obtener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el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documento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de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tasa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puede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llamar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al 968362005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- 968365212.</w:t>
      </w:r>
      <w:r w:rsidRPr="008F5442">
        <w:rPr>
          <w:rFonts w:ascii="Calibri" w:eastAsia="Times New Roman" w:hAnsi="Calibri" w:cs="Calibri"/>
          <w:color w:val="000000"/>
          <w:lang w:eastAsia="es-ES"/>
        </w:rPr>
        <w:t> </w:t>
      </w:r>
    </w:p>
    <w:p w:rsidR="008D3950" w:rsidRPr="008F5442" w:rsidRDefault="008D3950" w:rsidP="008D3950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 </w:t>
      </w:r>
    </w:p>
    <w:p w:rsidR="008D3950" w:rsidRPr="008F5442" w:rsidRDefault="008D3950" w:rsidP="008D3950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         Para </w:t>
      </w:r>
      <w:proofErr w:type="spellStart"/>
      <w:r w:rsidRPr="009D62C6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en-US" w:eastAsia="es-ES"/>
        </w:rPr>
        <w:t>consulta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metrologias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puede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enviar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</w:t>
      </w:r>
      <w:proofErr w:type="spellStart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>correo</w:t>
      </w:r>
      <w:proofErr w:type="spellEnd"/>
      <w:r w:rsidRPr="008F5442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-US" w:eastAsia="es-ES"/>
        </w:rPr>
        <w:t xml:space="preserve"> a: </w:t>
      </w:r>
      <w:r w:rsidRPr="009D62C6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val="en-US" w:eastAsia="es-ES"/>
        </w:rPr>
        <w:t>metrologia@carm.es</w:t>
      </w:r>
      <w:r w:rsidRPr="008F5442">
        <w:rPr>
          <w:rFonts w:ascii="Calibri" w:eastAsia="Times New Roman" w:hAnsi="Calibri" w:cs="Calibri"/>
          <w:color w:val="000000"/>
          <w:lang w:eastAsia="es-ES"/>
        </w:rPr>
        <w:t> </w:t>
      </w:r>
    </w:p>
    <w:p w:rsidR="008D3950" w:rsidRDefault="008D3950" w:rsidP="008D3950">
      <w:pPr>
        <w:spacing w:after="0" w:line="240" w:lineRule="auto"/>
        <w:jc w:val="both"/>
      </w:pPr>
    </w:p>
    <w:p w:rsidR="008D3950" w:rsidRDefault="008D3950"/>
    <w:sectPr w:rsidR="008D3950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22D" w:rsidRDefault="00FD422D" w:rsidP="007B2A95">
      <w:pPr>
        <w:spacing w:after="0" w:line="240" w:lineRule="auto"/>
      </w:pPr>
      <w:r>
        <w:separator/>
      </w:r>
    </w:p>
  </w:endnote>
  <w:endnote w:type="continuationSeparator" w:id="0">
    <w:p w:rsidR="00FD422D" w:rsidRDefault="00FD422D" w:rsidP="007B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22D" w:rsidRDefault="00FD422D" w:rsidP="007B2A95">
      <w:pPr>
        <w:spacing w:after="0" w:line="240" w:lineRule="auto"/>
      </w:pPr>
      <w:r>
        <w:separator/>
      </w:r>
    </w:p>
  </w:footnote>
  <w:footnote w:type="continuationSeparator" w:id="0">
    <w:p w:rsidR="00FD422D" w:rsidRDefault="00FD422D" w:rsidP="007B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96" w:type="dxa"/>
      <w:tblLook w:val="04A0" w:firstRow="1" w:lastRow="0" w:firstColumn="1" w:lastColumn="0" w:noHBand="0" w:noVBand="1"/>
    </w:tblPr>
    <w:tblGrid>
      <w:gridCol w:w="4596"/>
      <w:gridCol w:w="4600"/>
    </w:tblGrid>
    <w:tr w:rsidR="006216FE" w:rsidTr="007B0BF3">
      <w:trPr>
        <w:trHeight w:val="1867"/>
      </w:trPr>
      <w:tc>
        <w:tcPr>
          <w:tcW w:w="4596" w:type="dxa"/>
          <w:shd w:val="clear" w:color="auto" w:fill="auto"/>
        </w:tcPr>
        <w:p w:rsidR="006216FE" w:rsidRDefault="006216FE" w:rsidP="006216FE">
          <w:pPr>
            <w:pStyle w:val="Encabezado"/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935" distR="114935" simplePos="0" relativeHeight="251659264" behindDoc="0" locked="0" layoutInCell="1" allowOverlap="1" wp14:anchorId="11D52B56" wp14:editId="39EC46A7">
                    <wp:simplePos x="0" y="0"/>
                    <wp:positionH relativeFrom="column">
                      <wp:posOffset>481217</wp:posOffset>
                    </wp:positionH>
                    <wp:positionV relativeFrom="paragraph">
                      <wp:posOffset>48053</wp:posOffset>
                    </wp:positionV>
                    <wp:extent cx="2721769" cy="1357039"/>
                    <wp:effectExtent l="0" t="0" r="2540" b="0"/>
                    <wp:wrapNone/>
                    <wp:docPr id="4" name="Cuadro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21769" cy="13570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16FE" w:rsidRPr="001F6B21" w:rsidRDefault="006216FE" w:rsidP="006216FE">
                                <w:pPr>
                                  <w:spacing w:after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F6B21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Región de Murcia</w:t>
                                </w:r>
                              </w:p>
                              <w:p w:rsidR="006216FE" w:rsidRPr="00FF6D08" w:rsidRDefault="006216FE" w:rsidP="006216FE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F6D08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Consejería de Medio Ambiente,</w:t>
                                </w:r>
                              </w:p>
                              <w:p w:rsidR="006216FE" w:rsidRPr="00D25DC2" w:rsidRDefault="006216FE" w:rsidP="006216FE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FF6D08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Universidades Investigación y Mar Menor</w:t>
                                </w:r>
                                <w:r w:rsidRPr="00D25DC2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6216FE" w:rsidRPr="00FF6D08" w:rsidRDefault="006216FE" w:rsidP="006216FE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F6D0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Secretaría Autonómica de Energía,</w:t>
                                </w:r>
                              </w:p>
                              <w:p w:rsidR="006216FE" w:rsidRDefault="006216FE" w:rsidP="006216FE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F6D0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Sostenibilidad y Acción Climática.</w:t>
                                </w:r>
                              </w:p>
                              <w:p w:rsidR="006216FE" w:rsidRPr="001F6B21" w:rsidRDefault="006216FE" w:rsidP="006216FE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216FE" w:rsidRPr="00FF6D08" w:rsidRDefault="006216FE" w:rsidP="006216FE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F6D0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Dirección General de Energía y</w:t>
                                </w:r>
                              </w:p>
                              <w:p w:rsidR="006216FE" w:rsidRPr="00FF6D08" w:rsidRDefault="006216FE" w:rsidP="006216FE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F6D0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Actividad Industrial y Minera.</w:t>
                                </w:r>
                              </w:p>
                            </w:txbxContent>
                          </wps:txbx>
                          <wps:bodyPr rot="0" vert="horz" wrap="square" lIns="92075" tIns="46355" rIns="92075" bIns="4635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D52B5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26" type="#_x0000_t202" style="position:absolute;margin-left:37.9pt;margin-top:3.8pt;width:214.3pt;height:106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" stroked="f">
                    <v:textbox inset="7.25pt,3.65pt,7.25pt,3.65pt">
                      <w:txbxContent>
                        <w:p w:rsidR="006216FE" w:rsidRPr="001F6B21" w:rsidRDefault="006216FE" w:rsidP="006216FE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1F6B2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Región de Murcia</w:t>
                          </w:r>
                        </w:p>
                        <w:p w:rsidR="006216FE" w:rsidRPr="00FF6D08" w:rsidRDefault="006216FE" w:rsidP="006216FE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Consejería de Medio Ambiente,</w:t>
                          </w:r>
                        </w:p>
                        <w:p w:rsidR="006216FE" w:rsidRPr="00D25DC2" w:rsidRDefault="006216FE" w:rsidP="006216FE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Universidades Investigación y Mar Menor</w:t>
                          </w:r>
                          <w:r w:rsidRPr="00D25D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6216FE" w:rsidRPr="00FF6D08" w:rsidRDefault="006216FE" w:rsidP="006216FE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Secretaría Autonómica de Energía,</w:t>
                          </w:r>
                        </w:p>
                        <w:p w:rsidR="006216FE" w:rsidRDefault="006216FE" w:rsidP="006216F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Sostenibilidad y Acción Climática.</w:t>
                          </w:r>
                        </w:p>
                        <w:p w:rsidR="006216FE" w:rsidRPr="001F6B21" w:rsidRDefault="006216FE" w:rsidP="006216F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6216FE" w:rsidRPr="00FF6D08" w:rsidRDefault="006216FE" w:rsidP="006216F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Dirección General de Energía y</w:t>
                          </w:r>
                        </w:p>
                        <w:p w:rsidR="006216FE" w:rsidRPr="00FF6D08" w:rsidRDefault="006216FE" w:rsidP="006216F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6D0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Actividad Industrial y Minera.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DF011D">
            <w:rPr>
              <w:noProof/>
              <w:lang w:eastAsia="es-ES"/>
            </w:rPr>
            <w:drawing>
              <wp:inline distT="0" distB="0" distL="0" distR="0" wp14:anchorId="385F484A" wp14:editId="3A650DA2">
                <wp:extent cx="460375" cy="788512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4" t="-72" r="-134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737" cy="790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0" w:type="dxa"/>
          <w:shd w:val="clear" w:color="auto" w:fill="auto"/>
        </w:tcPr>
        <w:p w:rsidR="006216FE" w:rsidRDefault="006216FE" w:rsidP="006216FE">
          <w:pPr>
            <w:pStyle w:val="Encabezado"/>
            <w:jc w:val="right"/>
          </w:pPr>
        </w:p>
      </w:tc>
    </w:tr>
  </w:tbl>
  <w:p w:rsidR="007B2A95" w:rsidRPr="006216FE" w:rsidRDefault="007B2A95" w:rsidP="006216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24B4"/>
    <w:multiLevelType w:val="multilevel"/>
    <w:tmpl w:val="A2E4B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95"/>
    <w:rsid w:val="002115F5"/>
    <w:rsid w:val="00266392"/>
    <w:rsid w:val="00360158"/>
    <w:rsid w:val="006216FE"/>
    <w:rsid w:val="007663C9"/>
    <w:rsid w:val="007B2A95"/>
    <w:rsid w:val="007E508C"/>
    <w:rsid w:val="008B7129"/>
    <w:rsid w:val="008D3950"/>
    <w:rsid w:val="00960171"/>
    <w:rsid w:val="009A75BB"/>
    <w:rsid w:val="009D62C6"/>
    <w:rsid w:val="00B41DB7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E45BB2-A8A3-4CC0-B224-5ECDE1AF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950"/>
    <w:pPr>
      <w:suppressAutoHyphens/>
      <w:spacing w:line="254" w:lineRule="auto"/>
    </w:pPr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A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A95"/>
  </w:style>
  <w:style w:type="paragraph" w:styleId="Piedepgina">
    <w:name w:val="footer"/>
    <w:basedOn w:val="Normal"/>
    <w:link w:val="PiedepginaCar"/>
    <w:uiPriority w:val="99"/>
    <w:unhideWhenUsed/>
    <w:rsid w:val="007B2A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A95"/>
  </w:style>
  <w:style w:type="paragraph" w:styleId="Prrafodelista">
    <w:name w:val="List Paragraph"/>
    <w:basedOn w:val="Normal"/>
    <w:uiPriority w:val="34"/>
    <w:qFormat/>
    <w:rsid w:val="009D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BA7E4-8BBD-49E9-B847-1B174673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BELCHI PARRA, MARIA</dc:creator>
  <cp:keywords/>
  <dc:description/>
  <cp:lastModifiedBy>NUÑEZ NUÑEZ, ELOISA</cp:lastModifiedBy>
  <cp:revision>2</cp:revision>
  <dcterms:created xsi:type="dcterms:W3CDTF">2023-10-06T10:18:00Z</dcterms:created>
  <dcterms:modified xsi:type="dcterms:W3CDTF">2023-10-06T10:18:00Z</dcterms:modified>
</cp:coreProperties>
</file>